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2RPH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Keenahan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Wollongong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age,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Apartheid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eight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know, quite,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17,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obliterated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obliterated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(Laughs)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of,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aware,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 not a-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audience-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achondroplasia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00:04:29]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causes it?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00:05:09]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00:05:10]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go, "Oh,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wrong.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Okay?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wrong.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the fact of the matter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innate.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No.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'Cause a lot of it has to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uh,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 2D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right?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visceral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one guy who just literally-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who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grimaces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uh,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Condescension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people with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00:10:43]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 of-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look.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"Ah, aren't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but they,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00:11:13]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plinth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slightly different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centimeters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highly favorable,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'cause some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would, I would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What do,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Bloomsbury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Which,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 it's fun.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mean, you've,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you know? So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umpteenth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can't.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can't shortcut it.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between your two PhDs?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 that was a fair bit.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 So what were you-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 was a fair bit.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doing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between?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Mm, I've seen you dr- I,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(laughs),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Ashton's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is, (laughs)...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 art,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 up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I,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can't argue much, can you?"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got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she got me, uh,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VR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did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from there went, uh,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00:19:32]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I've seen-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'cause... 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Um,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street.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me.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Don't go there.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person's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dehumanization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showing,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when I say us,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glamorously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center of attention for the wrong reasons. Uh-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here's to being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(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).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a couple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dwarfism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Mm.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know, in the back of my mind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 brunt of jokes.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joke?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Debra,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2RPH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Counihan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Brunswick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kaleidoscope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&amp;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for each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and where it is,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Madeleine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honest, really excited. (Laughs).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Madeleine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leave me behind.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>You better start thinking again.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>You thought I was dumb or blind.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>I know.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>I know...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250718 Sideshow Season 2 Ep 8 Debra Keenahan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17,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