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2RPH.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00:01:20]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catalog.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excursions.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hand-in-hand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side-by-side.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interrelationships.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up-cycle,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emcee.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00:10:48]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prejudice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00:17:56]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00:25:24]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O'Leary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2RPH.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Melbourne-based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favourite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Bouvia,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Kahlo: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Kahlo: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Kahlo,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Bendigo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250523 Sideshow S3 Ep 6 Rawcus (Completed  05/22/25)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22,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cQCJKtonZk4KuqrirIVZ-wAkW_e-FKnz0ZQa6ZI8gx0zq2FX90AFgxALS9ItctLtATrwIeDS4HFGre_yG2uJvjTePLs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