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Apothetae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Apothetae,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Mozgala,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Shakespeare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Apothetae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00:01:09]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rigorous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BFA,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Bachelor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non-disabled.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non-disabled.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Handicapped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playwright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playwright.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Fêtes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'13?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Apothetae?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NYCDA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non-disabled.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Apothetae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cerebral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to..."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Shakespeare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Unfixable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Shakespeare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Shakespeare's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anonymous.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Cripple.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Donmar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Shakespeare's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non-disabled,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Shakespeare's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Andronicus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Donmar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00:12:46]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Let's..."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(laughs).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wilderness,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inertia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refreshing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hyperbole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00:14:24]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recollect.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adaptation/appropriation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Buckingham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Margaret,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playwright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playwright,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Margaret,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Donmar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rescripted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Andronicus.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dramaturg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Shakespeare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tenderloin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Apothetae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non-disabled,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neurodivergent,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director/manager,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Shakespeare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Apothetae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neurodivergent,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Midsummer.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I..."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Shakespeare,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Shakespeare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three-legged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symbiotic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rehearsal,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rehearsal,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Andronicus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Morrill,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Aaron-Lozano,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Shakespeare,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eloquently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triumvirate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dramaturg.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cachet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Shakespeare's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canonical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Andronicus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Shakespeare's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Canberra,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Canberra.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Wales'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Bedelia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Lowrenčev,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ever-changing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replenishment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Bedelia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Jeremy's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reclaim.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(laugh).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reciprocity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Sideshow S3 Ep4 The Apothetae Theater PODCAST VE... (Completed  03/27/25)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Mar 27,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QInAJAP1tqjxRO-KQ0usCDeefkcb86Q_iCLUNWU3R85CpQIautcYYJnMTGTZ-NBKyJf2e-uaq1yu_ytg1bpiAtQn51M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