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D693" w14:textId="671EB856" w:rsidR="000869A2" w:rsidRDefault="00697FC0" w:rsidP="007236F0">
      <w:pPr>
        <w:spacing w:after="0"/>
        <w:rPr>
          <w:b/>
          <w:sz w:val="48"/>
        </w:rPr>
      </w:pPr>
      <w:r>
        <w:rPr>
          <w:noProof/>
        </w:rPr>
        <w:drawing>
          <wp:inline distT="0" distB="0" distL="0" distR="0" wp14:anchorId="20929A41" wp14:editId="22C32936">
            <wp:extent cx="5270500" cy="1230630"/>
            <wp:effectExtent l="0" t="0" r="7620" b="5715"/>
            <wp:docPr id="1" name="Picture 1" descr="Accessible Arts &amp; Access Accessible Art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cessible Arts &amp; Access Accessible Arts logo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D3BF" w14:textId="77777777" w:rsidR="00A33078" w:rsidRDefault="00A33078" w:rsidP="00A33078">
      <w:pPr>
        <w:pStyle w:val="Heading1"/>
      </w:pPr>
      <w:bookmarkStart w:id="0" w:name="_Toc106113402"/>
      <w:r>
        <w:t>Venue Checklist</w:t>
      </w:r>
    </w:p>
    <w:p w14:paraId="5CF0F8D0" w14:textId="72D8511A" w:rsidR="00A33078" w:rsidRDefault="00114559" w:rsidP="00A33078">
      <w:pPr>
        <w:pStyle w:val="Heading2"/>
      </w:pPr>
      <w:r>
        <w:t>1</w:t>
      </w:r>
      <w:r w:rsidR="00A33078">
        <w:t xml:space="preserve">. </w:t>
      </w:r>
      <w:r w:rsidRPr="00114559">
        <w:t xml:space="preserve">Transport and </w:t>
      </w:r>
      <w:r>
        <w:t>a</w:t>
      </w:r>
      <w:r w:rsidRPr="00114559">
        <w:t xml:space="preserve">ccessible </w:t>
      </w:r>
      <w:r>
        <w:t>p</w:t>
      </w:r>
      <w:r w:rsidRPr="00114559">
        <w:t>arking</w:t>
      </w:r>
    </w:p>
    <w:p w14:paraId="05BD8AD5" w14:textId="77777777" w:rsidR="00CB4A3F" w:rsidRDefault="00CB4A3F" w:rsidP="00BF7DF1">
      <w:r>
        <w:t xml:space="preserve">The following statements are best addressed by Customer Service Manager in conjunction with the Venue Manager and checked on a regular basis. </w:t>
      </w:r>
    </w:p>
    <w:p w14:paraId="5383AFFF" w14:textId="64B07A5A" w:rsidR="00CB4A3F" w:rsidRDefault="00CB4A3F" w:rsidP="00BF7DF1">
      <w:r>
        <w:t xml:space="preserve">These statements aim to </w:t>
      </w:r>
      <w:r w:rsidRPr="00410B69">
        <w:rPr>
          <w:rFonts w:cs="Arial"/>
        </w:rPr>
        <w:t>identify opportunities for reviewing access and increasing inclusive practices</w:t>
      </w:r>
      <w:r>
        <w:t>. Further information and explanation of some terms are on the Venue Information sheet</w:t>
      </w:r>
      <w:r w:rsidR="00BF7DF1">
        <w:t>.</w:t>
      </w:r>
    </w:p>
    <w:p w14:paraId="1AD28895" w14:textId="77777777" w:rsidR="00110F2B" w:rsidRPr="00A33078" w:rsidRDefault="00110F2B" w:rsidP="00110F2B">
      <w:pPr>
        <w:pStyle w:val="Heading3"/>
      </w:pPr>
      <w:r>
        <w:t>Venue details</w:t>
      </w:r>
    </w:p>
    <w:p w14:paraId="19CE6FAF" w14:textId="2C7984B0" w:rsidR="00110F2B" w:rsidRDefault="00110F2B" w:rsidP="00110F2B">
      <w:r w:rsidRPr="00A33078">
        <w:rPr>
          <w:rStyle w:val="Strong"/>
        </w:rPr>
        <w:t>Venue Name:</w:t>
      </w:r>
      <w:r>
        <w:t xml:space="preserve"> </w:t>
      </w:r>
      <w:r w:rsidR="003A387C">
        <w:t>[enter venue name]</w:t>
      </w:r>
    </w:p>
    <w:p w14:paraId="1016CD16" w14:textId="40644C74" w:rsidR="00853180" w:rsidRPr="00CB4A3F" w:rsidRDefault="00110F2B" w:rsidP="00CB4A3F">
      <w:pPr>
        <w:rPr>
          <w:b/>
          <w:bCs/>
        </w:rPr>
      </w:pPr>
      <w:r w:rsidRPr="00A33078">
        <w:rPr>
          <w:rStyle w:val="Strong"/>
        </w:rPr>
        <w:t xml:space="preserve">Address: </w:t>
      </w:r>
      <w:r w:rsidR="003A387C">
        <w:t>[enter street address]</w:t>
      </w:r>
      <w:r w:rsidR="00853180">
        <w:br w:type="page"/>
      </w:r>
    </w:p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110F2B" w:rsidRPr="0063606D" w14:paraId="32BC1445" w14:textId="77777777" w:rsidTr="00110F2B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322CA0E5" w14:textId="11D4D0DA" w:rsidR="00110F2B" w:rsidRPr="00384F5C" w:rsidRDefault="00CB4A3F" w:rsidP="00110F2B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A3F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Transport and accessible parking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52534B3" w14:textId="77777777" w:rsidR="00110F2B" w:rsidRPr="00384F5C" w:rsidRDefault="00110F2B" w:rsidP="00110F2B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2F63AA1E" w14:textId="77777777" w:rsidR="00110F2B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D821ABD" w14:textId="77777777" w:rsidR="00110F2B" w:rsidRPr="00384F5C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23489656" w14:textId="0222E266" w:rsidR="00110F2B" w:rsidRPr="00384F5C" w:rsidRDefault="00110F2B" w:rsidP="00110F2B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CB4A3F" w:rsidRPr="0063606D" w14:paraId="63B4C761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462694A" w14:textId="425926AC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Venue can be accessed by public transport. Describe options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6E2DFF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7820D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514A6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A5FBAB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7CBD718B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2F5BF52" w14:textId="78108AC2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Public transport stops are available to/ near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B992B1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3D6B5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4BB6AE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AC1563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2CBC37D6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35808DA" w14:textId="2DA83A13" w:rsidR="00CB4A3F" w:rsidRDefault="00CB4A3F" w:rsidP="00CB4A3F">
            <w:pPr>
              <w:pStyle w:val="NoSpacing"/>
              <w:rPr>
                <w:rFonts w:cs="Arial"/>
              </w:rPr>
            </w:pPr>
            <w:r>
              <w:t xml:space="preserve">Public transport is accessible </w:t>
            </w:r>
            <w:r w:rsidRPr="007A6D7E">
              <w:t xml:space="preserve">for people in wheelchairs and </w:t>
            </w:r>
            <w:r>
              <w:t xml:space="preserve">with </w:t>
            </w:r>
            <w:r w:rsidRPr="007A6D7E">
              <w:t>other mobility issues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587A99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640C89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41AC26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761979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6933A1D8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F499584" w14:textId="0C5734C6" w:rsidR="00CB4A3F" w:rsidRDefault="00CB4A3F" w:rsidP="00CB4A3F">
            <w:pPr>
              <w:pStyle w:val="NoSpacing"/>
              <w:rPr>
                <w:rFonts w:cs="Arial"/>
              </w:rPr>
            </w:pPr>
            <w:r>
              <w:t>There are clear, accessible pathways from transport stop/ drop-off to venue main entrance</w:t>
            </w:r>
            <w:r w:rsidR="00542D05">
              <w:t>, including accessible gradients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F9D17A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E61E2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1F4FC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445312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6CDD573A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66D5396" w14:textId="156D077E" w:rsidR="00CB4A3F" w:rsidRDefault="00CB4A3F" w:rsidP="00CB4A3F">
            <w:pPr>
              <w:pStyle w:val="NoSpacing"/>
              <w:rPr>
                <w:rFonts w:cs="Arial"/>
              </w:rPr>
            </w:pPr>
            <w:r>
              <w:t>Transport drop-off / pick-up points are close to entrances ie less than 100m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2C8620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222AEE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5B3DF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62297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7944AB83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CE22E74" w14:textId="12C52B7E" w:rsidR="00CB4A3F" w:rsidRDefault="00CB4A3F" w:rsidP="00CB4A3F">
            <w:pPr>
              <w:pStyle w:val="NoSpacing"/>
              <w:rPr>
                <w:rFonts w:cs="Arial"/>
              </w:rPr>
            </w:pPr>
            <w:r>
              <w:t>There is adequate space for cars, taxis and coaches to set down passengers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1CD727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76EA2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01C51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F2E4E9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504D3DEC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61E58B7" w14:textId="31223586" w:rsidR="00CB4A3F" w:rsidRDefault="00CB4A3F" w:rsidP="00CB4A3F">
            <w:pPr>
              <w:pStyle w:val="NoSpacing"/>
              <w:rPr>
                <w:rFonts w:cs="Arial"/>
              </w:rPr>
            </w:pPr>
            <w:r>
              <w:t>There are kerb cuts in the footpath in the taxi drop off area for wheelchairs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E3D59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C4432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50A4AD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CA7090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6D3FE718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115A44C" w14:textId="086C2ABA" w:rsidR="00CB4A3F" w:rsidRDefault="00CB4A3F" w:rsidP="00CB4A3F">
            <w:pPr>
              <w:pStyle w:val="NoSpacing"/>
              <w:rPr>
                <w:rFonts w:cs="Arial"/>
              </w:rPr>
            </w:pPr>
            <w:r>
              <w:t xml:space="preserve">Alternative provisions to transport people with disability to the </w:t>
            </w:r>
            <w:r w:rsidRPr="000F763E">
              <w:t>venue ie community buses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CC1B8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B0559B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D10A22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7E6044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32B367BA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00A273A" w14:textId="4D7B944C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Times" w:eastAsia="Times" w:hAnsi="Times"/>
              </w:rPr>
              <w:br w:type="page"/>
            </w:r>
            <w:r>
              <w:t>There is accessible parking at the venue? Note the number of bays: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8FD29B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8F6BEF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2C91AE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DDA29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60FE55A9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B3794DC" w14:textId="0AAFC5AB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There is accessible parking in or near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6A07A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57390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334058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384D67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22BFB65B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0BF296" w14:textId="4BE8B259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There is a clear path of travel from accessible parking spaces into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663E2E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6C54D0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E6AD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553ADB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112E2346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5E8C57" w14:textId="0B306C03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>Parking space surfaces are firm and level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3ABC4C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568F84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CCA7F9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54E04F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7523C1AC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8BB4C49" w14:textId="7F3FC6FE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Carpark is well lit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6A4744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3CBEC3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6F2E7B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571740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3AF462D9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3C07898" w14:textId="0A381A5E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There is clear, directional signage from the carpark to the main area of the venue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DF3A42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CAC40E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D00AE6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3F1424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44664CAE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97B5EF6" w14:textId="39E462B6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People can book accessible parking spaces. Note</w:t>
            </w:r>
            <w:r w:rsidRPr="007A6D7E">
              <w:t xml:space="preserve"> procedure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F6BE7D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F680F4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BDC550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478281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759B7BF2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418C80F" w14:textId="1BB0A1B0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 xml:space="preserve">In the case of special events, people can book accessible parking. </w:t>
            </w:r>
            <w:r w:rsidRPr="007A6D7E">
              <w:t>Indicate procedure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BFAF02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A9A51B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3004A8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2F60A5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B4A3F" w:rsidRPr="0063606D" w14:paraId="372933B9" w14:textId="77777777" w:rsidTr="008A1EB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6B727EFB" w14:textId="0A808F1A" w:rsidR="00CB4A3F" w:rsidRPr="0063606D" w:rsidRDefault="00CB4A3F" w:rsidP="00CB4A3F">
            <w:pPr>
              <w:pStyle w:val="NoSpacing"/>
              <w:rPr>
                <w:rFonts w:ascii="Arial" w:hAnsi="Arial" w:cs="Arial"/>
              </w:rPr>
            </w:pPr>
            <w:r>
              <w:t>Additional accessible parking organised if large numbers of people with disability are expected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7E4857" w14:textId="77777777" w:rsidR="00CB4A3F" w:rsidRPr="0063606D" w:rsidRDefault="00CB4A3F" w:rsidP="00CB4A3F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A9ED79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0819D1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D33F1F" w14:textId="77777777" w:rsidR="00CB4A3F" w:rsidRDefault="00CB4A3F" w:rsidP="00CB4A3F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bookmarkEnd w:id="0"/>
    <w:p w14:paraId="4686AD09" w14:textId="77777777" w:rsidR="00E725D0" w:rsidRDefault="00E725D0" w:rsidP="00E725D0">
      <w:pPr>
        <w:pStyle w:val="Heading2"/>
      </w:pPr>
      <w:r>
        <w:t xml:space="preserve">Assessment of Results </w:t>
      </w:r>
    </w:p>
    <w:p w14:paraId="37A910C1" w14:textId="77777777" w:rsidR="00E725D0" w:rsidRDefault="00E725D0" w:rsidP="00E725D0">
      <w:pPr>
        <w:pStyle w:val="Heading3"/>
      </w:pPr>
      <w:r>
        <w:t>Priority Action and Goals</w:t>
      </w:r>
    </w:p>
    <w:p w14:paraId="6BF497D3" w14:textId="228042FB" w:rsidR="00E725D0" w:rsidRPr="00E725D0" w:rsidRDefault="00E725D0" w:rsidP="00E725D0">
      <w:pPr>
        <w:pStyle w:val="ListParagraph"/>
        <w:numPr>
          <w:ilvl w:val="0"/>
          <w:numId w:val="27"/>
        </w:numPr>
        <w:tabs>
          <w:tab w:val="left" w:pos="426"/>
          <w:tab w:val="left" w:pos="4253"/>
        </w:tabs>
        <w:ind w:right="-46"/>
        <w:outlineLvl w:val="0"/>
        <w:rPr>
          <w:rFonts w:cs="Arial"/>
        </w:rPr>
      </w:pPr>
      <w:r>
        <w:rPr>
          <w:rFonts w:cs="Arial"/>
        </w:rPr>
        <w:t>[enter text]</w:t>
      </w:r>
    </w:p>
    <w:p w14:paraId="157FC4CC" w14:textId="77777777" w:rsidR="00E725D0" w:rsidRDefault="00E725D0" w:rsidP="00E725D0">
      <w:pPr>
        <w:pStyle w:val="Heading3"/>
      </w:pPr>
      <w:r>
        <w:t>References and Links</w:t>
      </w:r>
    </w:p>
    <w:p w14:paraId="7F3CC758" w14:textId="6AA989BD" w:rsidR="00CB4A3F" w:rsidRPr="00357AAC" w:rsidRDefault="00000000" w:rsidP="00CB4A3F">
      <w:pPr>
        <w:ind w:right="-52"/>
        <w:rPr>
          <w:rFonts w:cs="Arial"/>
        </w:rPr>
      </w:pPr>
      <w:hyperlink r:id="rId10" w:history="1">
        <w:r w:rsidR="00CB4A3F" w:rsidRPr="00185647">
          <w:rPr>
            <w:rStyle w:val="Hyperlink"/>
            <w:rFonts w:cs="Arial"/>
          </w:rPr>
          <w:t>Summary of the main Australian Standards referenced in the Access Code</w:t>
        </w:r>
      </w:hyperlink>
    </w:p>
    <w:p w14:paraId="75AF42D4" w14:textId="58A3DADD" w:rsidR="00CB4A3F" w:rsidRPr="00357AAC" w:rsidRDefault="00000000" w:rsidP="00CB4A3F">
      <w:pPr>
        <w:ind w:right="-52"/>
        <w:rPr>
          <w:rFonts w:cs="Arial"/>
        </w:rPr>
      </w:pPr>
      <w:hyperlink r:id="rId11" w:tooltip="Disability Standards" w:history="1">
        <w:r w:rsidR="00CB4A3F">
          <w:rPr>
            <w:rStyle w:val="Hyperlink"/>
            <w:rFonts w:cs="Arial"/>
          </w:rPr>
          <w:t>Disability (Access to Premises – Buildings) Standards, 2010</w:t>
        </w:r>
      </w:hyperlink>
    </w:p>
    <w:p w14:paraId="52B734EE" w14:textId="25C81FBE" w:rsidR="00742D93" w:rsidRDefault="00CB4A3F" w:rsidP="00CB4A3F">
      <w:pPr>
        <w:pStyle w:val="BodyText2"/>
        <w:ind w:right="-52"/>
      </w:pPr>
      <w:r w:rsidRPr="00357AAC">
        <w:t>Local councils advise where accessible parking available</w:t>
      </w:r>
      <w:r w:rsidR="00742D93">
        <w:t>:</w:t>
      </w:r>
    </w:p>
    <w:p w14:paraId="1868EA0F" w14:textId="05705EDD" w:rsidR="00CB4A3F" w:rsidRPr="00357AAC" w:rsidRDefault="00000000" w:rsidP="00742D93">
      <w:pPr>
        <w:pStyle w:val="BodyText2"/>
        <w:numPr>
          <w:ilvl w:val="0"/>
          <w:numId w:val="27"/>
        </w:numPr>
        <w:ind w:right="-52"/>
      </w:pPr>
      <w:hyperlink r:id="rId12" w:tooltip="City of Sydney accessible parking locations" w:history="1">
        <w:r w:rsidR="00742D93">
          <w:rPr>
            <w:rStyle w:val="Hyperlink"/>
          </w:rPr>
          <w:t>City of Sydney</w:t>
        </w:r>
      </w:hyperlink>
    </w:p>
    <w:p w14:paraId="77E6CAA4" w14:textId="59498A83" w:rsidR="00CB4A3F" w:rsidRPr="00357AAC" w:rsidRDefault="00000000" w:rsidP="00CB4A3F">
      <w:pPr>
        <w:pStyle w:val="BodyText2"/>
        <w:ind w:right="-52"/>
      </w:pPr>
      <w:hyperlink r:id="rId13" w:tooltip="131 500 Public transport re: accessible transport" w:history="1">
        <w:r w:rsidR="00742D93">
          <w:rPr>
            <w:rStyle w:val="Hyperlink"/>
          </w:rPr>
          <w:t>Public transport re: accessible transport</w:t>
        </w:r>
      </w:hyperlink>
    </w:p>
    <w:sectPr w:rsidR="00CB4A3F" w:rsidRPr="00357AAC" w:rsidSect="00E02983">
      <w:headerReference w:type="default" r:id="rId14"/>
      <w:footerReference w:type="default" r:id="rId15"/>
      <w:pgSz w:w="11900" w:h="16840"/>
      <w:pgMar w:top="567" w:right="1800" w:bottom="1418" w:left="1800" w:header="708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3F55" w14:textId="77777777" w:rsidR="001A58F2" w:rsidRDefault="001A58F2">
      <w:r>
        <w:separator/>
      </w:r>
    </w:p>
  </w:endnote>
  <w:endnote w:type="continuationSeparator" w:id="0">
    <w:p w14:paraId="3732E34A" w14:textId="77777777" w:rsidR="001A58F2" w:rsidRDefault="001A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675FF93B" w:rsidR="009E77C0" w:rsidRPr="00EA430D" w:rsidRDefault="003A387C" w:rsidP="000713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t>Venue checklist</w:t>
    </w:r>
    <w:r w:rsidR="00EA430D" w:rsidRPr="00EA430D">
      <w:ptab w:relativeTo="margin" w:alignment="center" w:leader="none"/>
    </w:r>
    <w:r w:rsidR="00EA430D" w:rsidRPr="00EA430D">
      <w:ptab w:relativeTo="margin" w:alignment="right" w:leader="none"/>
    </w:r>
    <w:r w:rsidR="00980521" w:rsidRPr="00980521">
      <w:t xml:space="preserve">Page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PAGE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1</w:t>
    </w:r>
    <w:r w:rsidR="00980521" w:rsidRPr="00980521">
      <w:rPr>
        <w:b/>
        <w:bCs/>
      </w:rPr>
      <w:fldChar w:fldCharType="end"/>
    </w:r>
    <w:r w:rsidR="00980521" w:rsidRPr="00980521">
      <w:t xml:space="preserve"> of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NUMPAGES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2</w:t>
    </w:r>
    <w:r w:rsidR="00980521" w:rsidRPr="00980521">
      <w:rPr>
        <w:b/>
        <w:bCs/>
      </w:rPr>
      <w:fldChar w:fldCharType="end"/>
    </w:r>
    <w:r w:rsidR="0098052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7B30" w14:textId="77777777" w:rsidR="001A58F2" w:rsidRDefault="001A58F2">
      <w:r w:rsidRPr="00196966">
        <w:rPr>
          <w:color w:val="D33278"/>
        </w:rPr>
        <w:separator/>
      </w:r>
    </w:p>
  </w:footnote>
  <w:footnote w:type="continuationSeparator" w:id="0">
    <w:p w14:paraId="4E6F5FB5" w14:textId="77777777" w:rsidR="001A58F2" w:rsidRDefault="001A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2" w14:textId="77777777" w:rsidR="009E77C0" w:rsidRDefault="009E7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AC7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4A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F67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E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AA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68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69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CF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986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206672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DE1965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2BCA"/>
    <w:multiLevelType w:val="hybridMultilevel"/>
    <w:tmpl w:val="41E41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3F1B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901E9C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503E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019347">
    <w:abstractNumId w:val="24"/>
  </w:num>
  <w:num w:numId="2" w16cid:durableId="1815022400">
    <w:abstractNumId w:val="19"/>
  </w:num>
  <w:num w:numId="3" w16cid:durableId="1076241179">
    <w:abstractNumId w:val="20"/>
  </w:num>
  <w:num w:numId="4" w16cid:durableId="618951927">
    <w:abstractNumId w:val="12"/>
  </w:num>
  <w:num w:numId="5" w16cid:durableId="1363436125">
    <w:abstractNumId w:val="17"/>
  </w:num>
  <w:num w:numId="6" w16cid:durableId="1508406273">
    <w:abstractNumId w:val="25"/>
  </w:num>
  <w:num w:numId="7" w16cid:durableId="1493329575">
    <w:abstractNumId w:val="23"/>
  </w:num>
  <w:num w:numId="8" w16cid:durableId="1626503672">
    <w:abstractNumId w:val="16"/>
  </w:num>
  <w:num w:numId="9" w16cid:durableId="2050378346">
    <w:abstractNumId w:val="26"/>
  </w:num>
  <w:num w:numId="10" w16cid:durableId="248661459">
    <w:abstractNumId w:val="21"/>
  </w:num>
  <w:num w:numId="11" w16cid:durableId="2100978534">
    <w:abstractNumId w:val="8"/>
  </w:num>
  <w:num w:numId="12" w16cid:durableId="1259220891">
    <w:abstractNumId w:val="0"/>
  </w:num>
  <w:num w:numId="13" w16cid:durableId="26566505">
    <w:abstractNumId w:val="9"/>
  </w:num>
  <w:num w:numId="14" w16cid:durableId="1200362525">
    <w:abstractNumId w:val="7"/>
  </w:num>
  <w:num w:numId="15" w16cid:durableId="1830293808">
    <w:abstractNumId w:val="6"/>
  </w:num>
  <w:num w:numId="16" w16cid:durableId="1418788902">
    <w:abstractNumId w:val="5"/>
  </w:num>
  <w:num w:numId="17" w16cid:durableId="642468085">
    <w:abstractNumId w:val="4"/>
  </w:num>
  <w:num w:numId="18" w16cid:durableId="1999770242">
    <w:abstractNumId w:val="3"/>
  </w:num>
  <w:num w:numId="19" w16cid:durableId="46953497">
    <w:abstractNumId w:val="2"/>
  </w:num>
  <w:num w:numId="20" w16cid:durableId="1908690169">
    <w:abstractNumId w:val="1"/>
  </w:num>
  <w:num w:numId="21" w16cid:durableId="633143915">
    <w:abstractNumId w:val="11"/>
  </w:num>
  <w:num w:numId="22" w16cid:durableId="1617834632">
    <w:abstractNumId w:val="22"/>
  </w:num>
  <w:num w:numId="23" w16cid:durableId="1511337156">
    <w:abstractNumId w:val="15"/>
  </w:num>
  <w:num w:numId="24" w16cid:durableId="557479021">
    <w:abstractNumId w:val="13"/>
  </w:num>
  <w:num w:numId="25" w16cid:durableId="1385716219">
    <w:abstractNumId w:val="10"/>
  </w:num>
  <w:num w:numId="26" w16cid:durableId="928344773">
    <w:abstractNumId w:val="18"/>
  </w:num>
  <w:num w:numId="27" w16cid:durableId="417798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0"/>
    <w:rsid w:val="0001479E"/>
    <w:rsid w:val="000713D4"/>
    <w:rsid w:val="000816DC"/>
    <w:rsid w:val="000869A2"/>
    <w:rsid w:val="000B096D"/>
    <w:rsid w:val="000C3F2A"/>
    <w:rsid w:val="000C50E2"/>
    <w:rsid w:val="000F468E"/>
    <w:rsid w:val="00102621"/>
    <w:rsid w:val="00110F2B"/>
    <w:rsid w:val="00114559"/>
    <w:rsid w:val="0011620E"/>
    <w:rsid w:val="00117014"/>
    <w:rsid w:val="001305C2"/>
    <w:rsid w:val="001308BE"/>
    <w:rsid w:val="0014602D"/>
    <w:rsid w:val="001610F3"/>
    <w:rsid w:val="00162DE0"/>
    <w:rsid w:val="00167F46"/>
    <w:rsid w:val="0017323B"/>
    <w:rsid w:val="00174409"/>
    <w:rsid w:val="001749A9"/>
    <w:rsid w:val="00185615"/>
    <w:rsid w:val="00185647"/>
    <w:rsid w:val="00196966"/>
    <w:rsid w:val="001A58F2"/>
    <w:rsid w:val="001B2BF8"/>
    <w:rsid w:val="001B7492"/>
    <w:rsid w:val="001C52EA"/>
    <w:rsid w:val="001C547B"/>
    <w:rsid w:val="001E59C3"/>
    <w:rsid w:val="001F267A"/>
    <w:rsid w:val="00214D23"/>
    <w:rsid w:val="00233F3F"/>
    <w:rsid w:val="00251253"/>
    <w:rsid w:val="00255297"/>
    <w:rsid w:val="00263BD9"/>
    <w:rsid w:val="00267A59"/>
    <w:rsid w:val="002D4B46"/>
    <w:rsid w:val="002E1FEE"/>
    <w:rsid w:val="003065C9"/>
    <w:rsid w:val="00325BD7"/>
    <w:rsid w:val="003377D3"/>
    <w:rsid w:val="00340A51"/>
    <w:rsid w:val="00344D69"/>
    <w:rsid w:val="003505DA"/>
    <w:rsid w:val="003624B7"/>
    <w:rsid w:val="00376260"/>
    <w:rsid w:val="00381D52"/>
    <w:rsid w:val="00384F5C"/>
    <w:rsid w:val="003A11AB"/>
    <w:rsid w:val="003A1279"/>
    <w:rsid w:val="003A387C"/>
    <w:rsid w:val="003A3B28"/>
    <w:rsid w:val="003B2286"/>
    <w:rsid w:val="003C4E69"/>
    <w:rsid w:val="003C552E"/>
    <w:rsid w:val="003F5F31"/>
    <w:rsid w:val="00415D66"/>
    <w:rsid w:val="004316A5"/>
    <w:rsid w:val="004703C4"/>
    <w:rsid w:val="0047477A"/>
    <w:rsid w:val="00477EA2"/>
    <w:rsid w:val="00497FFA"/>
    <w:rsid w:val="004B7132"/>
    <w:rsid w:val="0050746E"/>
    <w:rsid w:val="0050779D"/>
    <w:rsid w:val="00521685"/>
    <w:rsid w:val="00523644"/>
    <w:rsid w:val="005250BA"/>
    <w:rsid w:val="00525207"/>
    <w:rsid w:val="005330B7"/>
    <w:rsid w:val="00542D05"/>
    <w:rsid w:val="00564C34"/>
    <w:rsid w:val="005661E7"/>
    <w:rsid w:val="005705E3"/>
    <w:rsid w:val="005979D0"/>
    <w:rsid w:val="005B7F96"/>
    <w:rsid w:val="005C50D4"/>
    <w:rsid w:val="005C56D6"/>
    <w:rsid w:val="005D6B2F"/>
    <w:rsid w:val="005F44F2"/>
    <w:rsid w:val="00623834"/>
    <w:rsid w:val="0063019A"/>
    <w:rsid w:val="006322F4"/>
    <w:rsid w:val="00641C16"/>
    <w:rsid w:val="00641F6C"/>
    <w:rsid w:val="00697FC0"/>
    <w:rsid w:val="006A3D09"/>
    <w:rsid w:val="006B5D96"/>
    <w:rsid w:val="006B75CB"/>
    <w:rsid w:val="006C5EDB"/>
    <w:rsid w:val="006D0707"/>
    <w:rsid w:val="0070080F"/>
    <w:rsid w:val="007236F0"/>
    <w:rsid w:val="00724144"/>
    <w:rsid w:val="00742D93"/>
    <w:rsid w:val="0076792D"/>
    <w:rsid w:val="00767A89"/>
    <w:rsid w:val="00776D4F"/>
    <w:rsid w:val="00781B35"/>
    <w:rsid w:val="007A1CEA"/>
    <w:rsid w:val="007A4D2F"/>
    <w:rsid w:val="007B0334"/>
    <w:rsid w:val="007E248C"/>
    <w:rsid w:val="00801A50"/>
    <w:rsid w:val="008314CE"/>
    <w:rsid w:val="00845C9E"/>
    <w:rsid w:val="00853180"/>
    <w:rsid w:val="00853F6D"/>
    <w:rsid w:val="00855ECB"/>
    <w:rsid w:val="00890FA4"/>
    <w:rsid w:val="00897E3E"/>
    <w:rsid w:val="008A1AC5"/>
    <w:rsid w:val="008B715A"/>
    <w:rsid w:val="008D2C5D"/>
    <w:rsid w:val="008F7FAD"/>
    <w:rsid w:val="0094641B"/>
    <w:rsid w:val="00967374"/>
    <w:rsid w:val="00973048"/>
    <w:rsid w:val="00980521"/>
    <w:rsid w:val="00995A2C"/>
    <w:rsid w:val="009B2558"/>
    <w:rsid w:val="009E77C0"/>
    <w:rsid w:val="00A33078"/>
    <w:rsid w:val="00A543A2"/>
    <w:rsid w:val="00A95AB7"/>
    <w:rsid w:val="00AE1594"/>
    <w:rsid w:val="00AE755E"/>
    <w:rsid w:val="00AF7883"/>
    <w:rsid w:val="00B04B60"/>
    <w:rsid w:val="00B10D68"/>
    <w:rsid w:val="00B269E1"/>
    <w:rsid w:val="00B474FB"/>
    <w:rsid w:val="00B60B24"/>
    <w:rsid w:val="00B615C0"/>
    <w:rsid w:val="00B72573"/>
    <w:rsid w:val="00B82B09"/>
    <w:rsid w:val="00B91E92"/>
    <w:rsid w:val="00BA1597"/>
    <w:rsid w:val="00BA6004"/>
    <w:rsid w:val="00BB3374"/>
    <w:rsid w:val="00BC4F57"/>
    <w:rsid w:val="00BF0E29"/>
    <w:rsid w:val="00BF7DF1"/>
    <w:rsid w:val="00C01FD0"/>
    <w:rsid w:val="00C02406"/>
    <w:rsid w:val="00C12141"/>
    <w:rsid w:val="00C2347E"/>
    <w:rsid w:val="00C27E91"/>
    <w:rsid w:val="00C47787"/>
    <w:rsid w:val="00C51317"/>
    <w:rsid w:val="00C66C87"/>
    <w:rsid w:val="00CB4A3F"/>
    <w:rsid w:val="00CB55B0"/>
    <w:rsid w:val="00D34B12"/>
    <w:rsid w:val="00D410CC"/>
    <w:rsid w:val="00D41237"/>
    <w:rsid w:val="00D5396C"/>
    <w:rsid w:val="00D80B7D"/>
    <w:rsid w:val="00D83EEC"/>
    <w:rsid w:val="00D8497A"/>
    <w:rsid w:val="00D91ED6"/>
    <w:rsid w:val="00D97457"/>
    <w:rsid w:val="00DA281A"/>
    <w:rsid w:val="00DB10BE"/>
    <w:rsid w:val="00DD7D05"/>
    <w:rsid w:val="00E02983"/>
    <w:rsid w:val="00E17D93"/>
    <w:rsid w:val="00E725D0"/>
    <w:rsid w:val="00E73245"/>
    <w:rsid w:val="00EA430D"/>
    <w:rsid w:val="00EC60CF"/>
    <w:rsid w:val="00ED6660"/>
    <w:rsid w:val="00EE10C7"/>
    <w:rsid w:val="00EF0513"/>
    <w:rsid w:val="00EF7967"/>
    <w:rsid w:val="00EF7BE3"/>
    <w:rsid w:val="00F0421F"/>
    <w:rsid w:val="00F1084A"/>
    <w:rsid w:val="00F12D43"/>
    <w:rsid w:val="00F14E17"/>
    <w:rsid w:val="00F3629E"/>
    <w:rsid w:val="00F4400A"/>
    <w:rsid w:val="00F45D14"/>
    <w:rsid w:val="00F46AA2"/>
    <w:rsid w:val="00F65531"/>
    <w:rsid w:val="00F73868"/>
    <w:rsid w:val="00F829B0"/>
    <w:rsid w:val="00F85A63"/>
    <w:rsid w:val="00FA32DC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8ADE"/>
  <w15:docId w15:val="{2036D2B8-3665-43CF-BBAC-BD8681C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1A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1AB"/>
    <w:pPr>
      <w:keepNext/>
      <w:keepLines/>
      <w:spacing w:before="360" w:after="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3A11AB"/>
    <w:rPr>
      <w:rFonts w:ascii="Arial" w:eastAsiaTheme="majorEastAsia" w:hAnsi="Arial" w:cstheme="majorBidi"/>
      <w:b/>
      <w:bCs/>
      <w:color w:val="D33278"/>
      <w:sz w:val="40"/>
      <w:szCs w:val="26"/>
      <w:lang w:val="en-AU"/>
    </w:rPr>
  </w:style>
  <w:style w:type="paragraph" w:styleId="NoSpacing">
    <w:name w:val="No Spacing"/>
    <w:uiPriority w:val="1"/>
    <w:rsid w:val="00B60B24"/>
    <w:pPr>
      <w:spacing w:line="312" w:lineRule="auto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000000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3A11AB"/>
    <w:rPr>
      <w:rFonts w:ascii="Arial" w:hAnsi="Arial"/>
      <w:b/>
      <w:sz w:val="48"/>
      <w:lang w:val="en-AU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rsid w:val="001305C2"/>
    <w:pPr>
      <w:spacing w:line="259" w:lineRule="auto"/>
      <w:outlineLvl w:val="9"/>
    </w:pPr>
    <w:rPr>
      <w:color w:val="D33278"/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D33278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table" w:styleId="TableGrid">
    <w:name w:val="Table Grid"/>
    <w:basedOn w:val="TableNormal"/>
    <w:uiPriority w:val="39"/>
    <w:rsid w:val="00C01FD0"/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essibleArtstable">
    <w:name w:val="Accessible Arts table"/>
    <w:basedOn w:val="TableNormal"/>
    <w:uiPriority w:val="99"/>
    <w:rsid w:val="00384F5C"/>
    <w:rPr>
      <w:rFonts w:asciiTheme="minorHAnsi" w:hAnsiTheme="minorHAnsi"/>
    </w:rPr>
    <w:tblPr/>
  </w:style>
  <w:style w:type="character" w:customStyle="1" w:styleId="normaltextrun">
    <w:name w:val="normaltextrun"/>
    <w:basedOn w:val="DefaultParagraphFont"/>
    <w:rsid w:val="00801A50"/>
  </w:style>
  <w:style w:type="paragraph" w:styleId="BodyText2">
    <w:name w:val="Body Text 2"/>
    <w:basedOn w:val="Normal"/>
    <w:link w:val="BodyText2Char"/>
    <w:uiPriority w:val="99"/>
    <w:semiHidden/>
    <w:unhideWhenUsed/>
    <w:rsid w:val="00110F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F2B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31500.com.au/plan-your-trip/accessible-transpor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ityofsydney.nsw.gov.au/AboutSydney/CBDDisabledAccess/Default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.gov.au/premisesstandard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humanrights.gov.au/our-work/finding-your-way-around-draft-disability-access-premises-buildings-standar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ccessible Arts">
  <a:themeElements>
    <a:clrScheme name="Accessible Arts">
      <a:dk1>
        <a:sysClr val="windowText" lastClr="000000"/>
      </a:dk1>
      <a:lt1>
        <a:sysClr val="window" lastClr="FFFFFF"/>
      </a:lt1>
      <a:dk2>
        <a:srgbClr val="D33278"/>
      </a:dk2>
      <a:lt2>
        <a:srgbClr val="FFFFFF"/>
      </a:lt2>
      <a:accent1>
        <a:srgbClr val="000000"/>
      </a:accent1>
      <a:accent2>
        <a:srgbClr val="D33278"/>
      </a:accent2>
      <a:accent3>
        <a:srgbClr val="7F7F7F"/>
      </a:accent3>
      <a:accent4>
        <a:srgbClr val="595959"/>
      </a:accent4>
      <a:accent5>
        <a:srgbClr val="3F3F3F"/>
      </a:accent5>
      <a:accent6>
        <a:srgbClr val="262626"/>
      </a:accent6>
      <a:hlink>
        <a:srgbClr val="0563C1"/>
      </a:hlink>
      <a:folHlink>
        <a:srgbClr val="D33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cessible Arts" id="{AD5C77A2-ACDE-4569-BFE6-55EF5CA8A7C6}" vid="{E95916A3-906C-42C0-8AFE-2828C50CD0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Props1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Venue Checklist - Building Maintenance and Access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Venue Checklist - Transport and accessible parking</dc:title>
  <dc:creator>Morwenna Collett</dc:creator>
  <cp:lastModifiedBy>Rachel Musgrove</cp:lastModifiedBy>
  <cp:revision>2</cp:revision>
  <dcterms:created xsi:type="dcterms:W3CDTF">2024-08-05T04:48:00Z</dcterms:created>
  <dcterms:modified xsi:type="dcterms:W3CDTF">2024-08-05T04:48:00Z</dcterms:modified>
</cp:coreProperties>
</file>