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2RPH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nonbinary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Dja Dja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Wurrung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: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)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(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)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quite a, um, a zeitgeist piece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stumbled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gonna write about?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 and,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neurodivergent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synapses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trustworthy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don't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(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)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'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)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 (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)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often happens, I think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floodgates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or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(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)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they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nonjudgmental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where they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there'll,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'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they don't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soup. You got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like we're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there's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squeeze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neurodi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-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about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-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 don't,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don't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-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 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precautions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much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it, you know?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dyslexic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(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) I'm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toilet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dimensional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Um,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everything.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need. 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broader. Yeah.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no.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book where...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Ailsa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(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compromise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you know,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grumpy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(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)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whispered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Ailsa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exquisite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Ailsa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like a 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(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) a cisgender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cisgender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heterosexuals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community."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into, (laughs)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-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-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-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for your feedback. Um, would you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just in,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reformatted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you look at and go, "Oh, I can't focus on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who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nonbinary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the... and I...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needed it, but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know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I can do this.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said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bluntness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(laughs)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lot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you know,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unfurling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dismantling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feel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perfectionism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dismantle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you can't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okay?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dismantle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like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about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Oh, great question.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second.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about crip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Okay.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The...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unacceptable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 I think so 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 think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00:24:13]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slingshot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cranky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 (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)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Mm-hmm.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2RPH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Sydneysiders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their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Klee's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Thieves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O'Daniel's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Glendining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Sanctuary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Castlemaine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Melbourne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Eloise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Griffin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Canberra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excerpt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Kazra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Outro 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230602 Sideshow Ep18 Jasper Peach (Completed  05/31/23)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31,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gLgIEPNH56Uv9uusrVNfsaPq7tcoRF4E2-khVTVF5RJ_Sc59wPxP6GCQeCmtSlRB38qqJhTKYN_E93yY7RTULWDilA4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