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unapologetic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Seymour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sub-dom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misconstrued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Manchester.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Whyalla,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Adelaide.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Adelaide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Switzerland,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large-scale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large-scale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Cormack,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Bernhardt/Hamlet,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1899.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[foreign language 00:22:57]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Mulvany.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mtc.com.au.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undiagnosed,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sydneyoperahouse.com.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Mulvany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outlandish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outlandish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menagerie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crocodile.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gangrene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amputated.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Bernhardt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Mulvaney,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Mulvaney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230310 Sideshow Ep 15 Dan Daw interview (Completed  03/09/23)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T7JckIX8QrusMl3Ir-9QYD2nLKzF7eSzGzH4vyrgovhD88fecAIf64afLR91rPKev8vxhUEMhjFSR9F-sgDJxsYXqs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