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2RPH.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Oyama.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screenwriter,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Utopia,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Taskmasters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Latecomers,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Oyama,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Latecomers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Bathurst.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Latecomers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Latecomers,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metaphorically-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00:03:52]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Latecomers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pigeonholed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Alistair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Baldwin,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Gottlieb.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paperwork."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Gottlieb.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could..."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Soloway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Scheckel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"Wow."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seconds.."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magnificent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00:12:20]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idiots,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Madeleine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co-creator,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Utopia,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well-known,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Latecomers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Thompson.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unsympathetic.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douchebag,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empathetic,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cautious.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roadblocks.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"Quietly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revolutionary."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Guardian.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Guardian,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Herald,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00:17:00]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Vanessa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sexually?"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Latecomers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Gottlieb's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unpolished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(laughs)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2RPH.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Cormack,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Seymour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reclamation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anonymous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Seymour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adjacent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Seymour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affiliate.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prohibited.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seymourcenter.com/event/worldpride-2023-the-dan-daw-show.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Francesca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Martinez,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Rickson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London.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austerity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pre-purchase,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ntathome.com.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Rachel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Musgrove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refreshing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00:26:49]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Latecomers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Sydney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Castlemaine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Festival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31st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Melbourne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Outro 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(singing).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230210 Sideshow Ep14 Latecomers (Completed  02/09/23)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09,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O2FAshjF75DC7qrpxerUwOo4T-FHfT0gS7gnE3fplzsEjNLkQWs8Ua-hjs_TZYwHHERQ1FVhBHErDYq8Eqq6ntgNpqw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