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2RPH.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Middleditch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A_tistic.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Borrowed,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Borrowed.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A_tistic?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controversial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humorous.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A_tistic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underscore.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00:01:56]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A_tistic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A_tistic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Python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Melbourne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dramaturgically,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conjunction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groundbreaking.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Congratulations.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dramaturgy.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dramaturgy?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de-stressed,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Malthouse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Darebin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Malthouse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Darebin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dramaturgy.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aesthetic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dramaturgy.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concrete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dramaturgy,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disconcerting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disconcerting.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dramaturgically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aesthetic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punctuation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alternative?"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neurodivergent?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disadvantaged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disadvantaged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precocious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impermissible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solipsistic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correctionness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dramaturgy.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untoward,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A_tistic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ineptitude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aesthetically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me"?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2RPH.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Middleditch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tyranny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Graeme's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vehicle,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Stevenson,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pre-production,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afflicted.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00:24:55]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Hannah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Cormack.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Hannah,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 Cormack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gallery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Footscray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Head-Toussaint.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Footscray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exhibition,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Footscray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footscrayartprize.com.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gallery.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 Cormack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stumbled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Destefano.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galleries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 Cormack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retrospective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Queensbridge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 Cormack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Sydney,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 Cormack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 Cormack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hybrid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Hannah.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 Cormack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210521 Activated Arts Ep 9 The Consultants (Completed  05/27/21)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27,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ZEdVy-jFNL7aNWrNg6OEsO7bq3OS_aC9alWl7YpBqpf4L5VCz_rXTLksLRDoKw8FDZQaQ4L6xmAwxq0AADqkUawbgj4?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